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COOKIE-ПОЛИТИКА</w:t>
      </w:r>
    </w:p>
    <w:p>
      <w:pPr>
        <w:jc w:val="center"/>
      </w:pPr>
      <w:r>
        <w:rPr>
          <w:i/>
        </w:rPr>
        <w:t>для сервиса «Акку» (https://akku.world)</w:t>
        <w:br/>
        <w:t>Версия 1.1 от 01.08.2026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2CC"/>
          </w:tcPr>
          <w:p>
            <w:r>
              <w:t>Необязательные аналитические инструменты используются только при наличии cookie-баннера и явного выбора пользователя.</w:t>
            </w:r>
          </w:p>
        </w:tc>
      </w:tr>
    </w:tbl>
    <w:p>
      <w:pPr>
        <w:pStyle w:val="Heading1"/>
      </w:pPr>
      <w:r>
        <w:t>1. Общие положения</w:t>
      </w:r>
    </w:p>
    <w:p>
      <w:r>
        <w:t>1.1. Настоящая Cookie-политика (далее — «Политика») описывает применение файлов cookie и аналогичных технологий в сервисе «Акку», доступном по адресу https://akku.world (далее — «Сервис»). Оператором Сервиса является ООО «Хорошие нейросети» (далее — «Оператор»).</w:t>
      </w:r>
    </w:p>
    <w:p>
      <w:r>
        <w:t>1.2. Cookie — небольшие файлы или аналогичные технические идентификаторы, которые могут сохраняться в браузере или на устройстве пользователя. Они помогают обеспечить работу авторизации, безопасность, сохранение настроек и, при наличии согласия, анализ использования Сервиса.</w:t>
      </w:r>
    </w:p>
    <w:p>
      <w:r>
        <w:t>1.3. Настоящая Политика является частью Политики конфиденциальности. Она не заменяет Политику конфиденциальности и Пользовательское соглашение. Обработка персональных данных при использовании cookie осуществляется в соответствии с Федеральным законом от 27.07.2006 № 152-ФЗ «О персональных данных» и иными применимыми нормами законодательства Российской Федерации.</w:t>
      </w:r>
    </w:p>
    <w:p>
      <w:pPr>
        <w:pStyle w:val="Heading1"/>
      </w:pPr>
      <w:r>
        <w:t>2. Какие технологии используются</w:t>
      </w:r>
    </w:p>
    <w:p>
      <w:r>
        <w:t>2.1. В Сервисе могут использоваться следующие категории cookie и аналогичных технологий: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</w:tcPr>
          <w:p>
            <w:r>
              <w:t>Категория</w:t>
            </w:r>
          </w:p>
        </w:tc>
        <w:tc>
          <w:tcPr>
            <w:tcW w:type="dxa" w:w="3343"/>
          </w:tcPr>
          <w:p>
            <w:r>
              <w:t>Назначение</w:t>
            </w:r>
          </w:p>
        </w:tc>
        <w:tc>
          <w:tcPr>
            <w:tcW w:type="dxa" w:w="3343"/>
          </w:tcPr>
          <w:p>
            <w:r>
              <w:t>Статус / основание</w:t>
            </w:r>
          </w:p>
        </w:tc>
      </w:tr>
      <w:tr>
        <w:tc>
          <w:tcPr>
            <w:tcW w:type="dxa" w:w="3343"/>
          </w:tcPr>
          <w:p>
            <w:r>
              <w:t>Обязательные</w:t>
            </w:r>
          </w:p>
        </w:tc>
        <w:tc>
          <w:tcPr>
            <w:tcW w:type="dxa" w:w="3343"/>
          </w:tcPr>
          <w:p>
            <w:r>
              <w:t>Авторизация, защита сессии, предотвращение злоупотреблений, сохранение технических настроек и корректная работа Сервиса.</w:t>
            </w:r>
          </w:p>
        </w:tc>
        <w:tc>
          <w:tcPr>
            <w:tcW w:type="dxa" w:w="3343"/>
          </w:tcPr>
          <w:p>
            <w:r>
              <w:t>Используются в объёме, необходимом для работы Сервиса и допустимом законодательством.</w:t>
            </w:r>
          </w:p>
        </w:tc>
      </w:tr>
      <w:tr>
        <w:tc>
          <w:tcPr>
            <w:tcW w:type="dxa" w:w="3343"/>
          </w:tcPr>
          <w:p>
            <w:r>
              <w:t>Продуктовая аналитика</w:t>
            </w:r>
          </w:p>
        </w:tc>
        <w:tc>
          <w:tcPr>
            <w:tcW w:type="dxa" w:w="3343"/>
          </w:tcPr>
          <w:p>
            <w:r>
              <w:t>Анализ использования функций, диагностика ошибок, улучшение интерфейса и продукта.</w:t>
            </w:r>
          </w:p>
        </w:tc>
        <w:tc>
          <w:tcPr>
            <w:tcW w:type="dxa" w:w="3343"/>
          </w:tcPr>
          <w:p>
            <w:r>
              <w:t>Не используются. При подключении — только после отдельного согласия пользователя.</w:t>
            </w:r>
          </w:p>
        </w:tc>
      </w:tr>
      <w:tr>
        <w:tc>
          <w:tcPr>
            <w:tcW w:type="dxa" w:w="3343"/>
          </w:tcPr>
          <w:p>
            <w:r>
              <w:t>Маркетинговые</w:t>
            </w:r>
          </w:p>
        </w:tc>
        <w:tc>
          <w:tcPr>
            <w:tcW w:type="dxa" w:w="3343"/>
          </w:tcPr>
          <w:p>
            <w:r>
              <w:t>Оценка и персонализация рекламы.</w:t>
            </w:r>
          </w:p>
        </w:tc>
        <w:tc>
          <w:tcPr>
            <w:tcW w:type="dxa" w:w="3343"/>
          </w:tcPr>
          <w:p>
            <w:r>
              <w:t>Не используются. При подключении — только после отдельного согласия пользователя.</w:t>
            </w:r>
          </w:p>
        </w:tc>
      </w:tr>
    </w:tbl>
    <w:p>
      <w:pPr>
        <w:pStyle w:val="Heading1"/>
      </w:pPr>
      <w:r>
        <w:t>3. PostHog и продуктовая аналитика</w:t>
      </w:r>
    </w:p>
    <w:p>
      <w:r>
        <w:t>3.1. PostHog не используется, продуктовая аналитика через него не ведётся.</w:t>
      </w:r>
    </w:p>
    <w:p>
      <w:r>
        <w:t>3.2. При подключении PostHog он развёртывается самостоятельно на инфраструктуре, расположенной на территории Российской Федерации. До включения аналитики Оператор размещает cookie-баннер, предоставляющий пользователю выбор: «Принять аналитику», «Отклонить» или «Настроить». По умолчанию необязательная аналитика выключена.</w:t>
      </w:r>
    </w:p>
    <w:p>
      <w:r>
        <w:t>3.3. При использовании PostHog Оператор планирует собирать только минимальные технические и продуктовые события: технический идентификатор пользователя, тип и время события, версия приложения, страница/экран и сведения об ошибке. Оператор не направляет в PostHog email, имя, телефон, платёжные данные, содержание промптов, результаты генераций, загруженные файлы и иные избыточные данные.</w:t>
      </w:r>
    </w:p>
    <w:p>
      <w:r>
        <w:t>3.4. Оператор не включает session replay без отдельной правовой и технической оценки. До такого решения session replay не используется.</w:t>
      </w:r>
    </w:p>
    <w:p>
      <w:pPr>
        <w:pStyle w:val="Heading1"/>
      </w:pPr>
      <w:r>
        <w:t>4. Управление выбором</w:t>
      </w:r>
    </w:p>
    <w:p>
      <w:r>
        <w:t>4.1. Пользователь может принять или отклонить необязательные cookie, а после подключения аналитики — изменить выбор через ссылку «Настройки cookie» в разделе «Правовая информация» Сервиса.</w:t>
      </w:r>
    </w:p>
    <w:p>
      <w:r>
        <w:t>4.2. Пользователь также может ограничить или удалить cookie в настройках своего браузера. Это может повлиять на работу отдельных функций, в частности на авторизацию и сохранение настроек.</w:t>
      </w:r>
    </w:p>
    <w:p>
      <w:r>
        <w:t>4.3. Отзыв согласия прекращает дальнейший сбор необязательных аналитических данных с устройства пользователя, но не влияет на законность обработки до отзыва и не всегда позволяет удалить данные, которые требуется хранить по закону или для защиты от злоупотреблений.</w:t>
      </w:r>
    </w:p>
    <w:p>
      <w:pPr>
        <w:pStyle w:val="Heading1"/>
      </w:pPr>
      <w:r>
        <w:t>5. Изменение Политики</w:t>
      </w:r>
    </w:p>
    <w:p>
      <w:r>
        <w:t>5.1. Оператор вправе обновлять Политику при изменении состава используемых технологий. Актуальная версия публикуется в разделе «Правовая информация» с указанием даты обновления. До подключения нового необязательного инструмента Оператор актуализирует Политику и механизм управления согласием.</w:t>
      </w:r>
    </w:p>
    <w:p>
      <w:pPr>
        <w:pStyle w:val="Heading2"/>
      </w:pPr>
      <w:r>
        <w:t>Реквизиты Оператора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t>Оператор</w:t>
            </w:r>
          </w:p>
        </w:tc>
        <w:tc>
          <w:tcPr>
            <w:tcW w:type="dxa" w:w="5014"/>
          </w:tcPr>
          <w:p>
            <w:r>
              <w:t>ООО «Хорошие нейросети»</w:t>
            </w:r>
          </w:p>
        </w:tc>
      </w:tr>
      <w:tr>
        <w:tc>
          <w:tcPr>
            <w:tcW w:type="dxa" w:w="5014"/>
          </w:tcPr>
          <w:p>
            <w:r>
              <w:t>ОГРН</w:t>
            </w:r>
          </w:p>
        </w:tc>
        <w:tc>
          <w:tcPr>
            <w:tcW w:type="dxa" w:w="5014"/>
          </w:tcPr>
          <w:p>
            <w:r>
              <w:t>1267800049032</w:t>
            </w:r>
          </w:p>
        </w:tc>
      </w:tr>
      <w:tr>
        <w:tc>
          <w:tcPr>
            <w:tcW w:type="dxa" w:w="5014"/>
          </w:tcPr>
          <w:p>
            <w:r>
              <w:t>ИНН / КПП</w:t>
            </w:r>
          </w:p>
        </w:tc>
        <w:tc>
          <w:tcPr>
            <w:tcW w:type="dxa" w:w="5014"/>
          </w:tcPr>
          <w:p>
            <w:r>
              <w:t>7801751805 / 780101001</w:t>
            </w:r>
          </w:p>
        </w:tc>
      </w:tr>
      <w:tr>
        <w:tc>
          <w:tcPr>
            <w:tcW w:type="dxa" w:w="5014"/>
          </w:tcPr>
          <w:p>
            <w:r>
              <w:t>Адрес</w:t>
            </w:r>
          </w:p>
        </w:tc>
        <w:tc>
          <w:tcPr>
            <w:tcW w:type="dxa" w:w="5014"/>
          </w:tcPr>
          <w:p>
            <w:r>
              <w:t>199225, г. Санкт-Петербург, внутригородская территория муниципальный округ Морской, б-р Вилькицкий, д. 6, стр. 1, кв. 947</w:t>
            </w:r>
          </w:p>
        </w:tc>
      </w:tr>
      <w:tr>
        <w:tc>
          <w:tcPr>
            <w:tcW w:type="dxa" w:w="5014"/>
          </w:tcPr>
          <w:p>
            <w:r>
              <w:t>Сайт</w:t>
            </w:r>
          </w:p>
        </w:tc>
        <w:tc>
          <w:tcPr>
            <w:tcW w:type="dxa" w:w="5014"/>
          </w:tcPr>
          <w:p>
            <w:r>
              <w:t>https://akku.world</w:t>
            </w:r>
          </w:p>
        </w:tc>
      </w:tr>
      <w:tr>
        <w:tc>
          <w:tcPr>
            <w:tcW w:type="dxa" w:w="5014"/>
          </w:tcPr>
          <w:p>
            <w:r>
              <w:t>Email для обращений</w:t>
            </w:r>
          </w:p>
        </w:tc>
        <w:tc>
          <w:tcPr>
            <w:tcW w:type="dxa" w:w="5014"/>
          </w:tcPr>
          <w:p>
            <w:r>
              <w:t>ktkozlov@yandex.ru</w:t>
            </w:r>
          </w:p>
        </w:tc>
      </w:tr>
    </w:tbl>
    <w:sectPr w:rsidR="00FC693F" w:rsidRPr="0006063C" w:rsidSect="00034616">
      <w:footerReference w:type="default" r:id="rId9"/>
      <w:headerReference w:type="default" r:id="rId10"/>
      <w:pgSz w:w="12240" w:h="15840"/>
      <w:pgMar w:top="1134" w:right="96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Сервис «Акку» • версия 1.1 от 01.08.2026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