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ПОЛИТИКА КОНФИДЕНЦИАЛЬНОСТИ</w:t>
      </w:r>
    </w:p>
    <w:p>
      <w:pPr>
        <w:jc w:val="center"/>
      </w:pPr>
      <w:r>
        <w:rPr>
          <w:i/>
        </w:rPr>
        <w:t>для сервиса «Акку» (https://akku.world)</w:t>
        <w:br/>
        <w:t>Версия 1.1 от 01.08.2026</w:t>
      </w:r>
    </w:p>
    <w:tbl>
      <w:tblPr>
        <w:tblStyle w:val="TableGrid"/>
        <w:tblW w:type="auto" w:w="0"/>
        <w:tblLook w:firstColumn="1" w:firstRow="1" w:lastColumn="0" w:lastRow="0" w:noHBand="0" w:noVBand="1" w:val="04A0"/>
      </w:tblPr>
      <w:tblGrid>
        <w:gridCol w:w="10029"/>
      </w:tblGrid>
      <w:tr>
        <w:tc>
          <w:tcPr>
            <w:tcW w:type="dxa" w:w="10029"/>
            <w:shd w:fill="FFF2CC"/>
          </w:tcPr>
          <w:p>
            <w:r>
              <w:t>Поставщики и места размещения данных указаны в разделе 5 настоящей Политики. При изменении инфраструктуры Оператор актуализирует сведения на этой странице.</w:t>
            </w:r>
          </w:p>
        </w:tc>
      </w:tr>
    </w:tbl>
    <w:p>
      <w:pPr>
        <w:pStyle w:val="Heading1"/>
      </w:pPr>
      <w:r>
        <w:t>1. Общие положения</w:t>
      </w:r>
    </w:p>
    <w:p>
      <w:r>
        <w:t>1.1. Настоящая Политика конфиденциальности (далее — «Политика») определяет порядок обработки и защиты персональных данных пользователей сервиса «Акку», доступного по адресу https://akku.world (далее — «Сервис»). Оператором персональных данных является ООО «Хорошие нейросети» (далее — «Оператор»).</w:t>
      </w:r>
    </w:p>
    <w:p>
      <w:r>
        <w:t>1.2. Политика применяется к данным, которые Оператор получает при регистрации, использовании Сервиса, оплате, обращении в поддержку и взаимодействии с сайтом. Оператор осуществляет обработку персональных данных в соответствии с Федеральным законом от 27.07.2006 № 152-ФЗ «О персональных данных» и иными применимыми нормами законодательства Российской Федерации.</w:t>
      </w:r>
    </w:p>
    <w:p>
      <w:r>
        <w:t>1.3. Пользователь обязан не включать в текстовые запросы, загружаемые файлы, изображения и иные материалы персональные данные свои или третьих лиц, специальные категории персональных данных и биометрические персональные данные, если иное прямо не предусмотрено законом и не согласовано с Оператором. Если Пользователь передаёт данные третьих лиц, он подтверждает наличие законного основания для такой передачи.</w:t>
      </w:r>
    </w:p>
    <w:p>
      <w:pPr>
        <w:pStyle w:val="Heading1"/>
      </w:pPr>
      <w:r>
        <w:t>2. Какие данные обрабатываются</w:t>
      </w:r>
    </w:p>
    <w:p>
      <w:r>
        <w:t>2.1. В зависимости от используемых функций Оператор может обрабатывать:</w:t>
      </w:r>
    </w:p>
    <w:p>
      <w:pPr>
        <w:pStyle w:val="ListBullet"/>
      </w:pPr>
      <w:r>
        <w:t>email, пароль в защищённом виде, идентификатор учётной записи, дату и время регистрации;</w:t>
      </w:r>
    </w:p>
    <w:p>
      <w:pPr>
        <w:pStyle w:val="ListBullet"/>
      </w:pPr>
      <w:r>
        <w:t>при входе через Яндекс ID — технический идентификатор Яндекс ID, email и иные минимально необходимые сведения, передаваемые в рамках выбранных пользователем разрешений;</w:t>
      </w:r>
    </w:p>
    <w:p>
      <w:pPr>
        <w:pStyle w:val="ListBullet"/>
      </w:pPr>
      <w:r>
        <w:t>имя, аватар и иные сведения профиля — если пользователь самостоятельно предоставил их;</w:t>
      </w:r>
    </w:p>
    <w:p>
      <w:pPr>
        <w:pStyle w:val="ListBullet"/>
      </w:pPr>
      <w:r>
        <w:t>технические данные: IP-адрес, тип и версия браузера, сведения об устройстве, user-agent, язык, часовой пояс, файлы cookie, данные журналов безопасности;</w:t>
      </w:r>
    </w:p>
    <w:p>
      <w:pPr>
        <w:pStyle w:val="ListBullet"/>
      </w:pPr>
      <w:r>
        <w:t>запросы, загружаемые материалы, история запросов и результаты генерации — пользовательский контент, который обрабатывается в объёме, необходимом для работы соответствующих функций Сервиса; такой контент может содержать персональные данные, если Пользователь включил их самостоятельно;</w:t>
      </w:r>
    </w:p>
    <w:p>
      <w:pPr>
        <w:pStyle w:val="ListBullet"/>
      </w:pPr>
      <w:r>
        <w:t>сведения об оплате: идентификатор платежа, сумма, дата, тариф, статус платежа и данные чека. Реквизиты банковских карт Оператор не получает и не хранит, если они вводятся на стороне платёжного провайдера;</w:t>
      </w:r>
    </w:p>
    <w:p>
      <w:pPr>
        <w:pStyle w:val="ListBullet"/>
      </w:pPr>
      <w:r>
        <w:t>обращения в поддержку и сведения, добровольно сообщённые пользователем.</w:t>
      </w:r>
    </w:p>
    <w:p>
      <w:pPr>
        <w:pStyle w:val="Heading1"/>
      </w:pPr>
      <w:r>
        <w:t>3. Цели и основания обработки</w:t>
      </w:r>
    </w:p>
    <w:p>
      <w:r>
        <w:t>3.1. Оператор обрабатывает данные для следующих целей:</w:t>
      </w:r>
    </w:p>
    <w:p>
      <w:pPr>
        <w:pStyle w:val="ListBullet"/>
      </w:pPr>
      <w:r>
        <w:t>регистрация, идентификация и авторизация пользователя;</w:t>
      </w:r>
    </w:p>
    <w:p>
      <w:pPr>
        <w:pStyle w:val="ListBullet"/>
      </w:pPr>
      <w:r>
        <w:t>предоставление доступа к Сервису, обработка запросов и формирование результатов AI-генерации;</w:t>
      </w:r>
    </w:p>
    <w:p>
      <w:pPr>
        <w:pStyle w:val="ListBullet"/>
      </w:pPr>
      <w:r>
        <w:t>исполнение пользовательского соглашения, расчёты, выдача чеков, обработка возвратов и обращений;</w:t>
      </w:r>
    </w:p>
    <w:p>
      <w:pPr>
        <w:pStyle w:val="ListBullet"/>
      </w:pPr>
      <w:r>
        <w:t>обеспечение безопасности, предотвращение злоупотреблений, диагностика ошибок и защита прав Оператора и пользователей;</w:t>
      </w:r>
    </w:p>
    <w:p>
      <w:pPr>
        <w:pStyle w:val="ListBullet"/>
      </w:pPr>
      <w:r>
        <w:t>исполнение требований законодательства, бухгалтерский и налоговый учёт;</w:t>
      </w:r>
    </w:p>
    <w:p>
      <w:pPr>
        <w:pStyle w:val="ListBullet"/>
      </w:pPr>
      <w:r>
        <w:t>направление сервисных сообщений; рекламные и маркетинговые сообщения — только при наличии отдельного согласия пользователя.</w:t>
      </w:r>
    </w:p>
    <w:p>
      <w:r>
        <w:t>3.2. Основаниями обработки являются: заключение и исполнение пользовательского соглашения, согласие субъекта персональных данных в случаях, когда оно требуется, исполнение обязанностей Оператора по закону и иные основания, предусмотренные законодательством Российской Федерации.</w:t>
      </w:r>
    </w:p>
    <w:p>
      <w:pPr>
        <w:pStyle w:val="Heading1"/>
      </w:pPr>
      <w:r>
        <w:t>4. Действия с данными и сроки хранения</w:t>
      </w:r>
    </w:p>
    <w:p>
      <w:r>
        <w:t>4.1. Оператор может собирать, записывать, систематизировать, хранить, уточнять, извлекать, использовать, передавать (предоставлять, обеспечивать доступ), обезличивать, блокировать и удалять персональные данные с использованием средств автоматизации или без них. Обезличивание применяется только в отношении тех данных и в тех процессах, для которых оно фактически реализовано и документировано Оператором.</w:t>
      </w:r>
    </w:p>
    <w:p>
      <w:r>
        <w:t>4.2. Данные учётной записи, запросы и результаты хранятся в течение срока использования учётной записи и до 30 календарных дней после её удаления, если более длительное хранение не требуется законом, не нужно для урегулирования спора, предотвращения злоупотреблений или не было отдельно выбрано пользователем в настройках Сервиса.</w:t>
      </w:r>
    </w:p>
    <w:p>
      <w:r>
        <w:t>4.3. Данные об оплате и документы, необходимые для бухгалтерского и налогового учёта, хранятся в сроки, установленные законодательством. Технические журналы и данные безопасности хранятся не дольше, чем это необходимо для соответствующих целей.</w:t>
      </w:r>
    </w:p>
    <w:p>
      <w:pPr>
        <w:pStyle w:val="Heading1"/>
      </w:pPr>
      <w:r>
        <w:t>5. Передача данных и привлечение обработчиков</w:t>
      </w:r>
    </w:p>
    <w:p>
      <w:r>
        <w:t>5.1. Оператор не продаёт персональные данные. Передача допускается только в объёме, необходимом для работы Сервиса, исполнения договора, выполнения требований закона или при наличии надлежащего основания.</w:t>
      </w:r>
    </w:p>
    <w:p>
      <w:r>
        <w:t>5.2. Для работы Сервиса Оператор может привлекать следующих поставщиков/обработчиков:</w:t>
      </w:r>
    </w:p>
    <w:p>
      <w:pPr>
        <w:pStyle w:val="ListBullet"/>
      </w:pPr>
      <w:r>
        <w:t>Polza.ai — AI-инфраструктура для обработки пользовательских запросов и получения результатов генерации; через неё запросы могут направляться доступным поставщикам моделей в объёме, необходимом для оказания услуги;</w:t>
      </w:r>
    </w:p>
    <w:p>
      <w:pPr>
        <w:pStyle w:val="ListBullet"/>
      </w:pPr>
      <w:r>
        <w:t>Яндекс ID — авторизация пользователя, если пользователь выбрал этот способ входа;</w:t>
      </w:r>
    </w:p>
    <w:p>
      <w:pPr>
        <w:pStyle w:val="ListBullet"/>
      </w:pPr>
      <w:r>
        <w:t>Банк Точка — интернет-эквайринг при оплате доступа. Данные банковских карт вводятся на стороне платёжного провайдера и не хранятся Оператором; сведения о фактически подключённой онлайн-кассе и операторе фискальных данных подлежат указанию до начала приёма оплат;</w:t>
      </w:r>
    </w:p>
    <w:p>
      <w:pPr>
        <w:pStyle w:val="ListBullet"/>
      </w:pPr>
      <w:r>
        <w:t>Cloud.ru — размещение серверной инфраструктуры Сервиса и основной базы данных в зоне доступности ru.AZ-1 на территории Российской Федерации;</w:t>
      </w:r>
    </w:p>
    <w:p>
      <w:pPr>
        <w:pStyle w:val="ListBullet"/>
      </w:pPr>
      <w:r>
        <w:t>ООО «ЯНДЕКС.ОБЛАКО» (Yandex Cloud) — хранение пользовательских файлов в Yandex Object Storage на территории Российской Федерации;</w:t>
      </w:r>
    </w:p>
    <w:p>
      <w:pPr>
        <w:pStyle w:val="ListBullet"/>
      </w:pPr>
      <w:r>
        <w:t>почтовые и сервисные поставщики — для доставки сервисных сообщений, поддержки и обеспечения безопасности; до их подключения Оператор актуализирует Политику при необходимости.</w:t>
      </w:r>
    </w:p>
    <w:p>
      <w:pPr>
        <w:pStyle w:val="ListBullet"/>
      </w:pPr>
      <w:r>
        <w:t>PostHog — продуктовая аналитика; при использовании применяется self-hosted-развёртывание на инфраструктуре на территории Российской Федерации и предварительное согласие пользователя на необязательную продуктовую аналитику.</w:t>
      </w:r>
    </w:p>
    <w:p>
      <w:r>
        <w:t>5.3. При использовании self-hosted PostHog он размещается на инфраструктуре на территории Российской Федерации. В PostHog направляются только минимальные обезличенные или псевдонимизированные технические и продуктовые события: технический идентификатор, тип события, время, версия приложения, страница/экран и сведения об ошибке. Оператор не направляет в PostHog email, имя, телефон, платёжные данные, содержание промптов, результаты генераций, загруженные файлы и иные избыточные данные. Аналитика включается только после согласия пользователя через cookie-баннер; пользователь может отозвать согласие через настройки cookie.</w:t>
      </w:r>
    </w:p>
    <w:p>
      <w:r>
        <w:t>5.4. Перед фактическим подключением любого поставщика хостинга, аналитики, рассылок или платёжного провайдера Оператор актуализирует публичную версию Политики, если такой поставщик получает персональные данные. Использование аналитики и cookie регулируется разделом 7 Политики и Cookie-политикой.</w:t>
      </w:r>
    </w:p>
    <w:p>
      <w:r>
        <w:t>5.5. Учётные данные Пользователей и основная база данных Сервиса размещаются на серверах на территории Российской Федерации. Для предоставления AI-функций Оператор направляет в Polza.ai пользовательские запросы и загружаемые материалы в объёме, необходимом для получения результата. Polza.ai может маршрутизировать такие запросы российским и зарубежным поставщикам моделей. Результаты генерации возвращаются в Сервис и хранятся в инфраструктуре Сервиса в соответствии с настоящей Политикой.</w:t>
      </w:r>
    </w:p>
    <w:p>
      <w:r>
        <w:t>5.6. Оператор не включает в запросы к поставщикам моделей данные учётной записи Пользователя (email, имя, номер телефона, идентификатор учётной записи) и платёжные данные отдельно от содержания запроса, если это не требуется для конкретной функции. Содержание пользовательского запроса или загружаемого материала не считается автоматически обезличенным только потому, что оно отделено от данных учётной записи. Если Пользователь нарушает запрет на передачу персональных данных в таком контенте, содержащиеся в нём сведения могут быть переданы поставщику модели вместе с запросом; Пользователь несёт ответственность за наличие правового основания для такой передачи.</w:t>
      </w:r>
    </w:p>
    <w:p>
      <w:pPr>
        <w:pStyle w:val="Heading1"/>
      </w:pPr>
      <w:r>
        <w:t>6. Локализация и защита данных</w:t>
      </w:r>
    </w:p>
    <w:p>
      <w:r>
        <w:t>6.1. Оператор принимает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и распространения.</w:t>
      </w:r>
    </w:p>
    <w:p>
      <w:r>
        <w:t>6.2. При сборе персональных данных граждан Российской Федерации Оператор обеспечивает их запись, систематизацию, накопление, хранение, уточнение и извлечение с использованием баз данных, находящихся на территории Российской Федерации, в случаях и объёме, предусмотренных законодательством Российской Федерации. На дату версии основная база данных Сервиса размещается в Cloud.ru (зона доступности ru.AZ-1), а пользовательские файлы — в Yandex Object Storage на территории Российской Федерации.</w:t>
      </w:r>
    </w:p>
    <w:p>
      <w:r>
        <w:t>6.3. Доступ к данным предоставляется только уполномоченным лицам и привлечённым обработчикам в пределах, необходимых для соответствующих целей.</w:t>
      </w:r>
    </w:p>
    <w:p>
      <w:pPr>
        <w:pStyle w:val="Heading1"/>
      </w:pPr>
      <w:r>
        <w:t>7. Cookie и аналитика</w:t>
      </w:r>
    </w:p>
    <w:p>
      <w:r>
        <w:t>7.1. Сервис использует обязательные cookie и аналогичные технологии, необходимые для авторизации, сохранения настроек, безопасности и корректной работы сайта. Такие технологии используются в объёме, необходимом для работы Сервиса и допустимом законодательством.</w:t>
      </w:r>
    </w:p>
    <w:p>
      <w:r>
        <w:t>7.2. PostHog и иные необязательные аналитические/маркетинговые cookie в Сервисе не используются. При подключении self-hosted PostHog или иного необязательного инструмента аналитики он включается только после получения соответствующего согласия через cookie-баннер. Пользователь сможет принять, отклонить или изменить свой выбор через интерфейс настроек cookie. Подробнее — в Cookie-политике.</w:t>
      </w:r>
    </w:p>
    <w:p>
      <w:pPr>
        <w:pStyle w:val="Heading1"/>
      </w:pPr>
      <w:r>
        <w:t>8. Права субъекта персональных данных</w:t>
      </w:r>
    </w:p>
    <w:p>
      <w:r>
        <w:t>8.1. Пользователь вправе запросить сведения об обработке своих данных, потребовать их уточнения, блокирования или уничтожения при наличии оснований, отозвать согласие, удалить учётную запись и обжаловать действия Оператора в уполномоченный орган или суд.</w:t>
      </w:r>
    </w:p>
    <w:p>
      <w:r>
        <w:t>8.2. Для реализации прав пользователь направляет обращение на ktkozlov@yandex.ru с темой «Персональные данные». Оператор может запросить сведения, необходимые для подтверждения личности заявителя и полномочий представителя. Обращение рассматривается в сроки, предусмотренные законодательством.</w:t>
      </w:r>
    </w:p>
    <w:p>
      <w:r>
        <w:t>8.3. Отзыв согласия не влияет на законность обработки до его отзыва и не прекращает обработку, если она необходима для исполнения договора, соблюдения требований закона или защиты прав Оператора.</w:t>
      </w:r>
    </w:p>
    <w:p>
      <w:pPr>
        <w:pStyle w:val="Heading1"/>
      </w:pPr>
      <w:r>
        <w:t>9. Изменение Политики</w:t>
      </w:r>
    </w:p>
    <w:p>
      <w:r>
        <w:t>9.1. Оператор вправе изменять Политику. Актуальная версия размещается на сайте Сервиса с указанием даты обновления. При существенных изменениях Оператор может дополнительно уведомить зарегистрированных пользователей.</w:t>
      </w:r>
    </w:p>
    <w:p>
      <w:pPr>
        <w:pStyle w:val="Heading2"/>
      </w:pPr>
      <w:r>
        <w:t>Реквизиты Оператора</w:t>
      </w:r>
    </w:p>
    <w:tbl>
      <w:tblPr>
        <w:tblStyle w:val="TableGrid"/>
        <w:tblW w:type="auto" w:w="0"/>
        <w:tblLook w:firstColumn="1" w:firstRow="1" w:lastColumn="0" w:lastRow="0" w:noHBand="0" w:noVBand="1" w:val="04A0"/>
      </w:tblPr>
      <w:tblGrid>
        <w:gridCol w:w="5014"/>
        <w:gridCol w:w="5014"/>
      </w:tblGrid>
      <w:tr>
        <w:tc>
          <w:tcPr>
            <w:tcW w:type="dxa" w:w="5014"/>
          </w:tcPr>
          <w:p>
            <w:r>
              <w:t>Оператор</w:t>
            </w:r>
          </w:p>
        </w:tc>
        <w:tc>
          <w:tcPr>
            <w:tcW w:type="dxa" w:w="5014"/>
          </w:tcPr>
          <w:p>
            <w:r>
              <w:t>ООО «Хорошие нейросети»</w:t>
            </w:r>
          </w:p>
        </w:tc>
      </w:tr>
      <w:tr>
        <w:tc>
          <w:tcPr>
            <w:tcW w:type="dxa" w:w="5014"/>
          </w:tcPr>
          <w:p>
            <w:r>
              <w:t>ОГРН</w:t>
            </w:r>
          </w:p>
        </w:tc>
        <w:tc>
          <w:tcPr>
            <w:tcW w:type="dxa" w:w="5014"/>
          </w:tcPr>
          <w:p>
            <w:r>
              <w:t>1267800049032</w:t>
            </w:r>
          </w:p>
        </w:tc>
      </w:tr>
      <w:tr>
        <w:tc>
          <w:tcPr>
            <w:tcW w:type="dxa" w:w="5014"/>
          </w:tcPr>
          <w:p>
            <w:r>
              <w:t>ИНН / КПП</w:t>
            </w:r>
          </w:p>
        </w:tc>
        <w:tc>
          <w:tcPr>
            <w:tcW w:type="dxa" w:w="5014"/>
          </w:tcPr>
          <w:p>
            <w:r>
              <w:t>7801751805 / 780101001</w:t>
            </w:r>
          </w:p>
        </w:tc>
      </w:tr>
      <w:tr>
        <w:tc>
          <w:tcPr>
            <w:tcW w:type="dxa" w:w="5014"/>
          </w:tcPr>
          <w:p>
            <w:r>
              <w:t>Адрес</w:t>
            </w:r>
          </w:p>
        </w:tc>
        <w:tc>
          <w:tcPr>
            <w:tcW w:type="dxa" w:w="5014"/>
          </w:tcPr>
          <w:p>
            <w:r>
              <w:t>199225, г. Санкт-Петербург, внутригородская территория муниципальный округ Морской, б-р Вилькицкий, д. 6, стр. 1, кв. 947</w:t>
            </w:r>
          </w:p>
        </w:tc>
      </w:tr>
      <w:tr>
        <w:tc>
          <w:tcPr>
            <w:tcW w:type="dxa" w:w="5014"/>
          </w:tcPr>
          <w:p>
            <w:r>
              <w:t>Сайт</w:t>
            </w:r>
          </w:p>
        </w:tc>
        <w:tc>
          <w:tcPr>
            <w:tcW w:type="dxa" w:w="5014"/>
          </w:tcPr>
          <w:p>
            <w:r>
              <w:t>https://akku.world</w:t>
            </w:r>
          </w:p>
        </w:tc>
      </w:tr>
      <w:tr>
        <w:tc>
          <w:tcPr>
            <w:tcW w:type="dxa" w:w="5014"/>
          </w:tcPr>
          <w:p>
            <w:r>
              <w:t>Email для обращений</w:t>
            </w:r>
          </w:p>
        </w:tc>
        <w:tc>
          <w:tcPr>
            <w:tcW w:type="dxa" w:w="5014"/>
          </w:tcPr>
          <w:p>
            <w:r>
              <w:t>ktkozlov@yandex.ru</w:t>
            </w:r>
          </w:p>
        </w:tc>
      </w:tr>
    </w:tbl>
    <w:p/>
    <w:sectPr w:rsidR="00FC693F" w:rsidRPr="0006063C" w:rsidSect="00034616">
      <w:footerReference w:type="default" r:id="rId9"/>
      <w:headerReference w:type="default" r:id="rId10"/>
      <w:pgSz w:w="12240" w:h="15840"/>
      <w:pgMar w:top="1134" w:right="964"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Сервис «Акку» • версия 1.1 от 01.08.2026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Arial" w:hAnsi="Arial" w:eastAsia="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