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ПОЛЬЗОВАТЕЛЬСКОЕ СОГЛАШЕНИЕ</w:t>
      </w:r>
    </w:p>
    <w:p>
      <w:pPr>
        <w:jc w:val="center"/>
      </w:pPr>
      <w:r>
        <w:rPr>
          <w:i/>
        </w:rPr>
        <w:t>для сервиса «Акку» (https://akku.world)</w:t>
        <w:br/>
        <w:t>Версия 1.1 от 01.08.2026</w:t>
      </w:r>
    </w:p>
    <w:p>
      <w:pPr>
        <w:pStyle w:val="Heading1"/>
      </w:pPr>
      <w:r>
        <w:t>1. Общие положения</w:t>
      </w:r>
    </w:p>
    <w:p>
      <w:r>
        <w:t>1.1. Настоящее Пользовательское соглашение (далее — «Соглашение») регулирует порядок использования сервиса «Акку», доступного по адресу https://akku.world (далее — «Сервис»). Оператором Сервиса является ООО «Хорошие нейросети» (далее — «Оператор»). Обработка персональных данных при использовании Сервиса осуществляется в соответствии с Федеральным законом от 27.07.2006 № 152-ФЗ «О персональных данных» и иными применимыми нормами законодательства Российской Федерации.</w:t>
      </w:r>
    </w:p>
    <w:p>
      <w:r>
        <w:t>1.2. Сервис предоставляет пользователю техническую возможность получать результаты с использованием технологий искусственного интеллекта, в том числе по текстовым запросам и иным материалам, которые пользователь направляет в Сервис.</w:t>
      </w:r>
    </w:p>
    <w:p>
      <w:r>
        <w:t>1.3. Регистрируясь в Сервисе, входя в него, нажимая кнопку согласия или продолжая использование, пользователь подтверждает, что ознакомился с Соглашением и принимает его в полном объёме. Если пользователь не согласен с условиями, он обязан прекратить использование Сервиса.</w:t>
      </w:r>
    </w:p>
    <w:p>
      <w:r>
        <w:t>1.4. Оператор вправе изменять Соглашение. Новая редакция применяется с даты публикации на сайте, если в ней не указано иное. Существенные изменения могут дополнительно доводиться до сведения пользователя через интерфейс или email.</w:t>
      </w:r>
    </w:p>
    <w:p>
      <w:pPr>
        <w:pStyle w:val="Heading1"/>
      </w:pPr>
      <w:r>
        <w:t>2. Учётная запись и доступ</w:t>
      </w:r>
    </w:p>
    <w:p>
      <w:r>
        <w:t>2.1. Доступ к Сервису предоставляется после регистрации по email и/или авторизации через Яндекс ID. Пользователь обязан предоставлять достоверные сведения и обеспечивать сохранность средств доступа к учётной записи.</w:t>
      </w:r>
    </w:p>
    <w:p>
      <w:r>
        <w:t>2.2. Пользователь несёт ответственность за действия, совершённые из его учётной записи, до момента уведомления Оператора о её компрометации.</w:t>
      </w:r>
    </w:p>
    <w:p>
      <w:r>
        <w:t>2.3. Оператор вправе ограничить или прекратить доступ при нарушении Соглашения, требований закона, прав третьих лиц, правил безопасности или правил применимых поставщиков AI-инфраструктуры.</w:t>
      </w:r>
    </w:p>
    <w:p>
      <w:pPr>
        <w:pStyle w:val="Heading1"/>
      </w:pPr>
      <w:r>
        <w:t>3. Правила использования Сервиса</w:t>
      </w:r>
    </w:p>
    <w:p>
      <w:r>
        <w:t>3.1. Пользователь самостоятельно определяет содержание запросов, загружаемых материалов и использование результатов генерации, а также несёт ответственность за наличие прав и законных оснований для их использования.</w:t>
      </w:r>
    </w:p>
    <w:p>
      <w:r>
        <w:t>3.2. Пользователю запрещается использовать Сервис для:</w:t>
      </w:r>
    </w:p>
    <w:p>
      <w:pPr>
        <w:pStyle w:val="ListBullet"/>
      </w:pPr>
      <w:r>
        <w:t>нарушения законодательства Российской Федерации, прав третьих лиц, требований о персональных данных, авторском праве, рекламе и защите информации;</w:t>
      </w:r>
    </w:p>
    <w:p>
      <w:pPr>
        <w:pStyle w:val="ListBullet"/>
      </w:pPr>
      <w:r>
        <w:t>передачи своих или чужих персональных данных, специальных категорий персональных данных или биометрических персональных данных в промптах, загружаемых файлах, изображениях и иных материалах без надлежащего законного основания;</w:t>
      </w:r>
    </w:p>
    <w:p>
      <w:pPr>
        <w:pStyle w:val="ListBullet"/>
      </w:pPr>
      <w:r>
        <w:t>создания, распространения или содействия созданию вредоносного ПО, фишинга, мошенничества, обхода ограничений, несанкционированного доступа к информационным системам;</w:t>
      </w:r>
    </w:p>
    <w:p>
      <w:pPr>
        <w:pStyle w:val="ListBullet"/>
      </w:pPr>
      <w:r>
        <w:t>создания незаконного, угрожающего, клеветнического, дискриминационного или иного запрещённого контента;</w:t>
      </w:r>
    </w:p>
    <w:p>
      <w:pPr>
        <w:pStyle w:val="ListBullet"/>
      </w:pPr>
      <w:r>
        <w:t>автоматизированного массового использования, обхода лимитов, передачи доступа третьим лицам либо вмешательства в работу Сервиса без письменного согласия Оператора.</w:t>
      </w:r>
    </w:p>
    <w:p>
      <w:pPr>
        <w:pStyle w:val="Heading1"/>
      </w:pPr>
      <w:r>
        <w:t>4. AI-функции и результаты генерации</w:t>
      </w:r>
    </w:p>
    <w:p>
      <w:r>
        <w:t>4.1. Результаты, полученные с помощью искусственного интеллекта, формируются автоматически, могут быть неточными, неполными, повторяющимися или не соответствовать ожиданиям. Пользователь обязан самостоятельно проверять результаты до их публикации, применения в рекламе, юридически значимых решениях, медицинских, финансовых, кадровых и иных чувствительных сферах.</w:t>
      </w:r>
    </w:p>
    <w:p>
      <w:r>
        <w:t>4.2. Оператор не гарантирует уникальность, охраноспособность, законность использования или отсутствие сходства результатов с материалами третьих лиц. Оператор не является автором, редактором, экспертом или представителем пользователя.</w:t>
      </w:r>
    </w:p>
    <w:p>
      <w:r>
        <w:t>4.3. В отношениях между Оператором и пользователем права на материалы пользователя сохраняются за пользователем. Права на результат генерации принадлежат пользователю в той мере, в какой они возникают и могут принадлежать ему по применимому законодательству и условиям поставщиков технологий. Пользователь предоставляет Оператору неисключительное право использовать свои запросы и материалы только в объёме, необходимом для оказания услуг, обеспечения безопасности и исполнения требований закона.</w:t>
      </w:r>
    </w:p>
    <w:p>
      <w:r>
        <w:t>4.4. Для обработки запросов Сервис использует инфраструктуру Polza.ai и через неё — доступных российских и зарубежных поставщиков моделей. Запросы и загружаемые материалы могут передаваться таким поставщикам исключительно в объёме, необходимом для получения результата и оказания услуги. Данные учётной записи Пользователя (email, имя, номер телефона, идентификатор учётной записи) не включаются в запросы к поставщикам моделей отдельно от содержания запроса. Пользователь не должен включать в запросы персональные данные свои или третьих лиц, специальные категории или биометрические персональные данные без надлежащего законного основания. Содержание запроса или файла не становится автоматически обезличенным только потому, что оно отделено от учётной записи.</w:t>
      </w:r>
    </w:p>
    <w:p>
      <w:pPr>
        <w:pStyle w:val="Heading1"/>
      </w:pPr>
      <w:r>
        <w:t>5. Тарифы, оплата, лимиты и возвраты</w:t>
      </w:r>
    </w:p>
    <w:p>
      <w:r>
        <w:t>5.1. Доступные тарифы, стоимость, включённые лимиты, период действия, доступные функции и порядок оплаты отображаются в интерфейсе Сервиса до оплаты и являются частью условий предоставления соответствующего доступа.</w:t>
      </w:r>
    </w:p>
    <w:p>
      <w:r>
        <w:t>5.2. Оплата доступа осуществляется через интернет-эквайринг Банка Точка после его подключения в Сервисе. Расчёты проводятся в рублях. Доступ и лимиты предоставляются после подтверждения оплаты платёжным провайдером, если иной порядок не указан в интерфейсе. До начала приёма оплат Оператор обеспечивает подключение онлайн-кассы и направление кассовых чеков в порядке, установленном законодательством.</w:t>
      </w:r>
    </w:p>
    <w:p>
      <w:r>
        <w:t>5.3. Лимиты не являются денежными средствами, не обмениваются на деньги и не подлежат передаче между пользователями, если это прямо не предусмотрено тарифом. Неиспользованные лимиты, перенос, приостановка или прекращение доступа регулируются условиями конкретного тарифа, отображёнными до оплаты.</w:t>
      </w:r>
    </w:p>
    <w:p>
      <w:r>
        <w:t>5.4. Вопросы об оплате и возврате пользователь направляет Оператору по адресу, указанному в разделе «Реквизиты Оператора». Оператор рассматривает обращение с учётом фактического объёма предоставленного цифрового доступа, применимого законодательства и условий оплаты. Права потребителя, установленные законом, не ограничиваются настоящим Соглашением.</w:t>
      </w:r>
    </w:p>
    <w:p>
      <w:pPr>
        <w:pStyle w:val="Heading1"/>
      </w:pPr>
      <w:r>
        <w:t>6. Интеллектуальная собственность</w:t>
      </w:r>
    </w:p>
    <w:p>
      <w:r>
        <w:t>6.1. Исключительные права на Сервис, его интерфейс, программный код, обозначения и иные материалы Оператора принадлежат Оператору или соответствующим правообладателям. Пользователь получает ограниченное, непередаваемое право использовать Сервис по назначению в период действия доступа.</w:t>
      </w:r>
    </w:p>
    <w:p>
      <w:r>
        <w:t>6.2. Пользователь не вправе копировать, декомпилировать, модифицировать, сдавать в аренду, перепродавать доступ к Сервису или использовать его обозначения без письменного разрешения Оператора.</w:t>
      </w:r>
    </w:p>
    <w:p>
      <w:pPr>
        <w:pStyle w:val="Heading1"/>
      </w:pPr>
      <w:r>
        <w:t>7. Ответственность и ограничения</w:t>
      </w:r>
    </w:p>
    <w:p>
      <w:r>
        <w:t>7.1. Сервис предоставляется «как есть» в пределах, допустимых законом. Оператор принимает разумные меры для поддержания работоспособности, но не гарантирует непрерывную работу, отсутствие ошибок, доступность конкретной модели или неизменность результатов.</w:t>
      </w:r>
    </w:p>
    <w:p>
      <w:r>
        <w:t>7.2. Оператор не отвечает за решения пользователя, принятые на основании результатов AI-генерации, за действия третьих лиц, сбои на стороне сетей, платёжных систем, поставщиков инфраструктуры и внешних сервисов, если Оператор не мог разумно предотвратить такие обстоятельства.</w:t>
      </w:r>
    </w:p>
    <w:p>
      <w:r>
        <w:t>7.3. Ограничения ответственности не применяются в части, в которой они не допускаются обязательными нормами законодательства Российской Федерации.</w:t>
      </w:r>
    </w:p>
    <w:p>
      <w:pPr>
        <w:pStyle w:val="Heading1"/>
      </w:pPr>
      <w:r>
        <w:t>8. Персональные данные и обращения</w:t>
      </w:r>
    </w:p>
    <w:p>
      <w:r>
        <w:t>8.1. Обработка персональных данных осуществляется в соответствии с Политикой конфиденциальности и Cookie-политикой, размещёнными на сайте Сервиса. Для обязательной обработки, необходимой для регистрации и предоставления доступа, применяются основания, предусмотренные законодательством и договором с пользователем; для рассылок, продуктовой аналитики и иных необязательных целей запрашивается отдельное согласие, когда оно требуется.</w:t>
      </w:r>
    </w:p>
    <w:p>
      <w:r>
        <w:t>8.2. Претензии, обращения по доступу, оплате, персональным данным и иным вопросам направляются на email Оператора. До обращения в суд стороны стремятся урегулировать спор путём переговоров и обмена письменными обращениями.</w:t>
      </w:r>
    </w:p>
    <w:p>
      <w:pPr>
        <w:pStyle w:val="Heading2"/>
      </w:pPr>
      <w:r>
        <w:t>Реквизиты Оператора</w:t>
      </w:r>
    </w:p>
    <w:tbl>
      <w:tblPr>
        <w:tblStyle w:val="TableGrid"/>
        <w:tblW w:type="auto" w:w="0"/>
        <w:tblLook w:firstColumn="1" w:firstRow="1" w:lastColumn="0" w:lastRow="0" w:noHBand="0" w:noVBand="1" w:val="04A0"/>
      </w:tblPr>
      <w:tblGrid>
        <w:gridCol w:w="5014"/>
        <w:gridCol w:w="5014"/>
      </w:tblGrid>
      <w:tr>
        <w:tc>
          <w:tcPr>
            <w:tcW w:type="dxa" w:w="5014"/>
          </w:tcPr>
          <w:p>
            <w:r>
              <w:t>Оператор</w:t>
            </w:r>
          </w:p>
        </w:tc>
        <w:tc>
          <w:tcPr>
            <w:tcW w:type="dxa" w:w="5014"/>
          </w:tcPr>
          <w:p>
            <w:r>
              <w:t>ООО «Хорошие нейросети»</w:t>
            </w:r>
          </w:p>
        </w:tc>
      </w:tr>
      <w:tr>
        <w:tc>
          <w:tcPr>
            <w:tcW w:type="dxa" w:w="5014"/>
          </w:tcPr>
          <w:p>
            <w:r>
              <w:t>ОГРН</w:t>
            </w:r>
          </w:p>
        </w:tc>
        <w:tc>
          <w:tcPr>
            <w:tcW w:type="dxa" w:w="5014"/>
          </w:tcPr>
          <w:p>
            <w:r>
              <w:t>1267800049032</w:t>
            </w:r>
          </w:p>
        </w:tc>
      </w:tr>
      <w:tr>
        <w:tc>
          <w:tcPr>
            <w:tcW w:type="dxa" w:w="5014"/>
          </w:tcPr>
          <w:p>
            <w:r>
              <w:t>ИНН / КПП</w:t>
            </w:r>
          </w:p>
        </w:tc>
        <w:tc>
          <w:tcPr>
            <w:tcW w:type="dxa" w:w="5014"/>
          </w:tcPr>
          <w:p>
            <w:r>
              <w:t>7801751805 / 780101001</w:t>
            </w:r>
          </w:p>
        </w:tc>
      </w:tr>
      <w:tr>
        <w:tc>
          <w:tcPr>
            <w:tcW w:type="dxa" w:w="5014"/>
          </w:tcPr>
          <w:p>
            <w:r>
              <w:t>Адрес</w:t>
            </w:r>
          </w:p>
        </w:tc>
        <w:tc>
          <w:tcPr>
            <w:tcW w:type="dxa" w:w="5014"/>
          </w:tcPr>
          <w:p>
            <w:r>
              <w:t>199225, г. Санкт-Петербург, внутригородская территория муниципальный округ Морской, б-р Вилькицкий, д. 6, стр. 1, кв. 947</w:t>
            </w:r>
          </w:p>
        </w:tc>
      </w:tr>
      <w:tr>
        <w:tc>
          <w:tcPr>
            <w:tcW w:type="dxa" w:w="5014"/>
          </w:tcPr>
          <w:p>
            <w:r>
              <w:t>Сайт</w:t>
            </w:r>
          </w:p>
        </w:tc>
        <w:tc>
          <w:tcPr>
            <w:tcW w:type="dxa" w:w="5014"/>
          </w:tcPr>
          <w:p>
            <w:r>
              <w:t>https://akku.world</w:t>
            </w:r>
          </w:p>
        </w:tc>
      </w:tr>
      <w:tr>
        <w:tc>
          <w:tcPr>
            <w:tcW w:type="dxa" w:w="5014"/>
          </w:tcPr>
          <w:p>
            <w:r>
              <w:t>Email для обращений</w:t>
            </w:r>
          </w:p>
        </w:tc>
        <w:tc>
          <w:tcPr>
            <w:tcW w:type="dxa" w:w="5014"/>
          </w:tcPr>
          <w:p>
            <w:r>
              <w:t>ktkozlov@yandex.ru</w:t>
            </w:r>
          </w:p>
        </w:tc>
      </w:tr>
    </w:tbl>
    <w:p/>
    <w:sectPr w:rsidR="00FC693F" w:rsidRPr="0006063C" w:rsidSect="00034616">
      <w:footerReference w:type="default" r:id="rId9"/>
      <w:headerReference w:type="default" r:id="rId10"/>
      <w:pgSz w:w="12240" w:h="15840"/>
      <w:pgMar w:top="1134" w:right="964"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Сервис «Акку» • версия 1.1 от 01.08.2026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